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459303">
      <w:pPr>
        <w:keepNext w:val="0"/>
        <w:keepLines w:val="0"/>
        <w:pageBreakBefore w:val="0"/>
        <w:widowControl w:val="0"/>
        <w:kinsoku/>
        <w:wordWrap/>
        <w:overflowPunct/>
        <w:topLinePunct w:val="0"/>
        <w:autoSpaceDE/>
        <w:autoSpaceDN/>
        <w:bidi w:val="0"/>
        <w:adjustRightInd/>
        <w:snapToGrid/>
        <w:spacing w:after="313" w:afterLines="100" w:line="400" w:lineRule="exact"/>
        <w:jc w:val="center"/>
        <w:textAlignment w:val="auto"/>
        <w:rPr>
          <w:rFonts w:hint="eastAsia" w:ascii="宋体" w:hAnsi="宋体" w:eastAsia="宋体"/>
          <w:b/>
          <w:bCs/>
          <w:lang w:val="en-US" w:eastAsia="zh-CN"/>
        </w:rPr>
      </w:pPr>
      <w:permStart w:id="0" w:edGrp="everyone"/>
      <w:r>
        <w:rPr>
          <w:rFonts w:hint="eastAsia" w:ascii="宋体" w:hAnsi="宋体" w:eastAsia="宋体"/>
          <w:b/>
          <w:bCs/>
          <w:lang w:val="en-US" w:eastAsia="zh-CN"/>
        </w:rPr>
        <w:t xml:space="preserve"> 宜宾叙府龙芽生态旅游开发有限公司股东全部权益价值评估项目</w:t>
      </w:r>
    </w:p>
    <w:permEnd w:id="0"/>
    <w:p w14:paraId="727FE14B">
      <w:pPr>
        <w:keepNext w:val="0"/>
        <w:keepLines w:val="0"/>
        <w:pageBreakBefore w:val="0"/>
        <w:widowControl w:val="0"/>
        <w:kinsoku/>
        <w:wordWrap/>
        <w:overflowPunct/>
        <w:topLinePunct w:val="0"/>
        <w:autoSpaceDE/>
        <w:autoSpaceDN/>
        <w:bidi w:val="0"/>
        <w:adjustRightInd/>
        <w:snapToGrid/>
        <w:spacing w:after="313" w:afterLines="100" w:line="400" w:lineRule="exact"/>
        <w:jc w:val="center"/>
        <w:textAlignment w:val="auto"/>
        <w:rPr>
          <w:rFonts w:ascii="宋体" w:hAnsi="宋体" w:eastAsia="宋体"/>
          <w:b/>
          <w:bCs/>
          <w:sz w:val="40"/>
          <w:szCs w:val="44"/>
        </w:rPr>
      </w:pPr>
      <w:r>
        <w:rPr>
          <w:rFonts w:hint="eastAsia" w:ascii="宋体" w:hAnsi="宋体" w:eastAsia="宋体"/>
          <w:b/>
          <w:bCs/>
          <w:sz w:val="28"/>
          <w:szCs w:val="32"/>
        </w:rPr>
        <w:t>寻源公告</w:t>
      </w:r>
    </w:p>
    <w:p w14:paraId="26B9879B">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ascii="宋体" w:hAnsi="宋体" w:eastAsia="宋体"/>
        </w:rPr>
      </w:pPr>
      <w:r>
        <w:rPr>
          <w:rFonts w:hint="eastAsia" w:ascii="宋体" w:hAnsi="宋体" w:eastAsia="宋体"/>
        </w:rPr>
        <w:t>本</w:t>
      </w:r>
      <w:r>
        <w:rPr>
          <w:rFonts w:ascii="宋体" w:hAnsi="宋体" w:eastAsia="宋体"/>
        </w:rPr>
        <w:t>项目</w:t>
      </w:r>
      <w:r>
        <w:rPr>
          <w:rFonts w:hint="eastAsia" w:ascii="宋体" w:hAnsi="宋体" w:eastAsia="宋体"/>
        </w:rPr>
        <w:t>计划于近期启动招标采购，为便于我方充分了解该项目的合理市场承包价及潜在优质的供方单位，现采用公开寻源方式邀请具备丰富履约经验、诚实守信的供应商积极参与本项目的寻源报价与提供合理化的建议。</w:t>
      </w:r>
    </w:p>
    <w:p w14:paraId="71042F8B">
      <w:pPr>
        <w:pStyle w:val="33"/>
        <w:keepNext w:val="0"/>
        <w:keepLines w:val="0"/>
        <w:pageBreakBefore w:val="0"/>
        <w:widowControl w:val="0"/>
        <w:numPr>
          <w:ilvl w:val="0"/>
          <w:numId w:val="1"/>
        </w:numPr>
        <w:kinsoku/>
        <w:wordWrap/>
        <w:overflowPunct/>
        <w:topLinePunct w:val="0"/>
        <w:autoSpaceDE/>
        <w:autoSpaceDN/>
        <w:bidi w:val="0"/>
        <w:adjustRightInd/>
        <w:snapToGrid/>
        <w:spacing w:line="400" w:lineRule="exact"/>
        <w:ind w:left="567" w:leftChars="0" w:hanging="567" w:firstLineChars="0"/>
        <w:textAlignment w:val="auto"/>
        <w:rPr>
          <w:rFonts w:ascii="宋体" w:hAnsi="宋体" w:eastAsia="宋体"/>
          <w:b/>
          <w:bCs/>
        </w:rPr>
      </w:pPr>
      <w:r>
        <w:rPr>
          <w:rFonts w:hint="eastAsia" w:ascii="宋体" w:hAnsi="宋体" w:eastAsia="宋体"/>
          <w:b/>
          <w:bCs/>
        </w:rPr>
        <w:t>采购项目简介</w:t>
      </w:r>
    </w:p>
    <w:p w14:paraId="43FBCD10">
      <w:pPr>
        <w:pStyle w:val="33"/>
        <w:keepNext w:val="0"/>
        <w:keepLines w:val="0"/>
        <w:pageBreakBefore w:val="0"/>
        <w:widowControl w:val="0"/>
        <w:numPr>
          <w:ilvl w:val="1"/>
          <w:numId w:val="1"/>
        </w:numPr>
        <w:kinsoku/>
        <w:wordWrap/>
        <w:overflowPunct/>
        <w:topLinePunct w:val="0"/>
        <w:autoSpaceDE/>
        <w:autoSpaceDN/>
        <w:bidi w:val="0"/>
        <w:adjustRightInd/>
        <w:snapToGrid/>
        <w:spacing w:line="400" w:lineRule="exact"/>
        <w:ind w:left="567" w:leftChars="0" w:hanging="567" w:firstLineChars="0"/>
        <w:textAlignment w:val="auto"/>
        <w:rPr>
          <w:rFonts w:ascii="宋体" w:hAnsi="宋体" w:eastAsia="宋体"/>
        </w:rPr>
      </w:pPr>
      <w:r>
        <w:rPr>
          <w:rFonts w:hint="eastAsia" w:ascii="宋体" w:hAnsi="宋体" w:eastAsia="宋体"/>
        </w:rPr>
        <w:t>项目名称：</w:t>
      </w:r>
      <w:permStart w:id="1" w:edGrp="everyone"/>
      <w:r>
        <w:rPr>
          <w:rFonts w:hint="eastAsia" w:ascii="宋体" w:hAnsi="宋体" w:eastAsia="宋体"/>
          <w:lang w:val="en-US" w:eastAsia="zh-CN"/>
        </w:rPr>
        <w:t xml:space="preserve"> 宜宾叙府龙芽生态旅游开发有限公司股东全部权益价值评估项目</w:t>
      </w:r>
      <w:permEnd w:id="1"/>
      <w:bookmarkStart w:id="0" w:name="_GoBack"/>
      <w:bookmarkEnd w:id="0"/>
    </w:p>
    <w:p w14:paraId="206F2E3D">
      <w:pPr>
        <w:pStyle w:val="33"/>
        <w:keepNext w:val="0"/>
        <w:keepLines w:val="0"/>
        <w:pageBreakBefore w:val="0"/>
        <w:widowControl w:val="0"/>
        <w:numPr>
          <w:ilvl w:val="1"/>
          <w:numId w:val="1"/>
        </w:numPr>
        <w:kinsoku/>
        <w:wordWrap/>
        <w:overflowPunct/>
        <w:topLinePunct w:val="0"/>
        <w:autoSpaceDE/>
        <w:autoSpaceDN/>
        <w:bidi w:val="0"/>
        <w:adjustRightInd/>
        <w:snapToGrid/>
        <w:spacing w:line="400" w:lineRule="exact"/>
        <w:ind w:left="567" w:leftChars="0" w:hanging="567" w:firstLineChars="0"/>
        <w:textAlignment w:val="auto"/>
        <w:rPr>
          <w:rFonts w:ascii="宋体" w:hAnsi="宋体" w:eastAsia="宋体"/>
        </w:rPr>
      </w:pPr>
      <w:r>
        <w:rPr>
          <w:rFonts w:hint="eastAsia" w:ascii="宋体" w:hAnsi="宋体" w:eastAsia="宋体"/>
        </w:rPr>
        <w:t>采购人：四川省茶业集团股份有限公司</w:t>
      </w:r>
    </w:p>
    <w:p w14:paraId="5B42385D">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lang w:val="en-US" w:eastAsia="zh-CN"/>
        </w:rPr>
      </w:pPr>
      <w:r>
        <w:rPr>
          <w:rFonts w:hint="eastAsia" w:ascii="宋体" w:hAnsi="宋体" w:eastAsia="宋体"/>
        </w:rPr>
        <w:t>项目概况：</w:t>
      </w:r>
      <w:permStart w:id="2" w:edGrp="everyone"/>
      <w:r>
        <w:rPr>
          <w:rFonts w:hint="eastAsia" w:ascii="宋体" w:hAnsi="宋体" w:eastAsia="宋体"/>
          <w:lang w:eastAsia="zh-CN"/>
        </w:rPr>
        <w:t>四川省茶业集团股份有限公司（以下简称“川茶集团”</w:t>
      </w:r>
      <w:r>
        <w:rPr>
          <w:rFonts w:hint="eastAsia" w:ascii="宋体" w:hAnsi="宋体" w:eastAsia="宋体"/>
        </w:rPr>
        <w:t>是四川酒业茶业投资集团有限公司控股的一家集茶树良种繁育、初精深加工、品牌营销、国际贸易、科技研发、茶文化旅游等一二三产业融合发展的国家优秀重点龙头企业，</w:t>
      </w:r>
      <w:r>
        <w:rPr>
          <w:rFonts w:hint="eastAsia" w:ascii="宋体" w:hAnsi="宋体" w:eastAsia="宋体"/>
          <w:lang w:val="en-US" w:eastAsia="zh-CN"/>
        </w:rPr>
        <w:t>宜宾市茶树良种繁育场有限责任公司（以下简称“良种繁育场”）</w:t>
      </w:r>
      <w:r>
        <w:rPr>
          <w:rFonts w:hint="eastAsia" w:ascii="宋体" w:hAnsi="宋体" w:eastAsia="宋体"/>
          <w:lang w:eastAsia="zh-CN"/>
        </w:rPr>
        <w:t>为</w:t>
      </w:r>
      <w:r>
        <w:rPr>
          <w:rFonts w:hint="eastAsia" w:ascii="宋体" w:hAnsi="宋体" w:eastAsia="宋体"/>
          <w:lang w:val="en-US" w:eastAsia="zh-CN"/>
        </w:rPr>
        <w:t>川茶集团</w:t>
      </w:r>
      <w:r>
        <w:rPr>
          <w:rFonts w:hint="eastAsia" w:ascii="宋体" w:hAnsi="宋体" w:eastAsia="宋体"/>
          <w:lang w:eastAsia="zh-CN"/>
        </w:rPr>
        <w:t>全资子公司；川茶集团、</w:t>
      </w:r>
      <w:r>
        <w:rPr>
          <w:rFonts w:hint="eastAsia" w:ascii="宋体" w:hAnsi="宋体" w:eastAsia="宋体"/>
          <w:lang w:val="en-US" w:eastAsia="zh-CN"/>
        </w:rPr>
        <w:t>良种繁育场</w:t>
      </w:r>
      <w:r>
        <w:rPr>
          <w:rFonts w:hint="eastAsia" w:ascii="宋体" w:hAnsi="宋体" w:eastAsia="宋体"/>
          <w:lang w:eastAsia="zh-CN"/>
        </w:rPr>
        <w:t>分别持</w:t>
      </w:r>
      <w:r>
        <w:rPr>
          <w:rFonts w:hint="eastAsia" w:ascii="宋体" w:hAnsi="宋体" w:eastAsia="宋体"/>
          <w:lang w:val="en-US" w:eastAsia="zh-CN"/>
        </w:rPr>
        <w:t>有宜宾叙府龙芽生态旅游开发有限公司（以下简称“龙芽旅游公司”）</w:t>
      </w:r>
      <w:r>
        <w:rPr>
          <w:rFonts w:hint="eastAsia" w:ascii="宋体" w:hAnsi="宋体" w:eastAsia="宋体"/>
        </w:rPr>
        <w:t>83.33</w:t>
      </w:r>
      <w:r>
        <w:rPr>
          <w:rFonts w:hint="eastAsia" w:ascii="宋体" w:hAnsi="宋体" w:eastAsia="宋体"/>
          <w:lang w:val="en-US" w:eastAsia="zh-CN"/>
        </w:rPr>
        <w:t>%、16.67%股权，共同为宜宾叙府龙芽生态旅游开发有限公司股东，</w:t>
      </w:r>
      <w:r>
        <w:rPr>
          <w:rFonts w:hint="eastAsia" w:ascii="宋体" w:hAnsi="宋体" w:eastAsia="宋体"/>
        </w:rPr>
        <w:t>为落实</w:t>
      </w:r>
      <w:r>
        <w:rPr>
          <w:rFonts w:hint="eastAsia" w:ascii="宋体" w:hAnsi="宋体" w:eastAsia="宋体"/>
          <w:lang w:eastAsia="zh-CN"/>
        </w:rPr>
        <w:t>川茶集团</w:t>
      </w:r>
      <w:r>
        <w:rPr>
          <w:rFonts w:hint="eastAsia" w:ascii="宋体" w:hAnsi="宋体" w:eastAsia="宋体"/>
        </w:rPr>
        <w:t>优化产权层级、聚焦主业发展的战略部署，实现对</w:t>
      </w:r>
      <w:r>
        <w:rPr>
          <w:rFonts w:hint="eastAsia" w:ascii="宋体" w:hAnsi="宋体" w:eastAsia="宋体"/>
          <w:lang w:eastAsia="zh-CN"/>
        </w:rPr>
        <w:t>龙芽旅游公司</w:t>
      </w:r>
      <w:r>
        <w:rPr>
          <w:rFonts w:hint="eastAsia" w:ascii="宋体" w:hAnsi="宋体" w:eastAsia="宋体"/>
        </w:rPr>
        <w:t>的精准管理和资源高效配置，计划对</w:t>
      </w:r>
      <w:r>
        <w:rPr>
          <w:rFonts w:hint="eastAsia" w:ascii="宋体" w:hAnsi="宋体" w:eastAsia="宋体"/>
          <w:lang w:eastAsia="zh-CN"/>
        </w:rPr>
        <w:t>龙芽旅游公司</w:t>
      </w:r>
      <w:r>
        <w:rPr>
          <w:rFonts w:hint="eastAsia" w:ascii="宋体" w:hAnsi="宋体" w:eastAsia="宋体"/>
        </w:rPr>
        <w:t>实施</w:t>
      </w:r>
      <w:r>
        <w:rPr>
          <w:rFonts w:hint="eastAsia" w:ascii="宋体" w:hAnsi="宋体" w:eastAsia="宋体"/>
          <w:lang w:eastAsia="zh-CN"/>
        </w:rPr>
        <w:t>股权整合，将</w:t>
      </w:r>
      <w:r>
        <w:rPr>
          <w:rFonts w:hint="eastAsia" w:ascii="宋体" w:hAnsi="宋体" w:eastAsia="宋体"/>
          <w:lang w:val="en-US" w:eastAsia="zh-CN"/>
        </w:rPr>
        <w:t>良种繁育场公司持有的龙芽旅游公司16.67%的股权，无偿划转至川茶集团。</w:t>
      </w:r>
    </w:p>
    <w:p w14:paraId="5EE36111">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b/>
          <w:bCs/>
          <w:lang w:val="en-US" w:eastAsia="zh-CN"/>
        </w:rPr>
      </w:pPr>
      <w:r>
        <w:rPr>
          <w:rFonts w:hint="eastAsia" w:ascii="宋体" w:hAnsi="宋体" w:eastAsia="宋体"/>
          <w:b/>
          <w:bCs/>
          <w:lang w:val="en-US" w:eastAsia="zh-CN"/>
        </w:rPr>
        <w:t>宜宾叙府龙芽生态旅游开发有限公司概况：</w:t>
      </w:r>
    </w:p>
    <w:p w14:paraId="459BC95C">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lang w:val="en-US" w:eastAsia="zh-CN"/>
        </w:rPr>
      </w:pPr>
      <w:r>
        <w:rPr>
          <w:rFonts w:hint="eastAsia" w:ascii="宋体" w:hAnsi="宋体" w:eastAsia="宋体"/>
        </w:rPr>
        <w:t>统一社会信用代码：91511502782265432G</w:t>
      </w:r>
    </w:p>
    <w:p w14:paraId="42A469CF">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rPr>
      </w:pPr>
      <w:r>
        <w:rPr>
          <w:rFonts w:hint="eastAsia" w:ascii="宋体" w:hAnsi="宋体" w:eastAsia="宋体"/>
        </w:rPr>
        <w:t>企业类型：有限责任公司（非自然人投资或控股的法人独资）</w:t>
      </w:r>
    </w:p>
    <w:p w14:paraId="25297598">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default" w:ascii="宋体" w:hAnsi="宋体" w:eastAsia="宋体"/>
          <w:lang w:val="en-US" w:eastAsia="zh-CN"/>
        </w:rPr>
      </w:pPr>
      <w:r>
        <w:rPr>
          <w:rFonts w:hint="eastAsia" w:ascii="宋体" w:hAnsi="宋体" w:eastAsia="宋体"/>
        </w:rPr>
        <w:t>注册资本：</w:t>
      </w:r>
      <w:r>
        <w:rPr>
          <w:rFonts w:hint="eastAsia" w:ascii="宋体" w:hAnsi="宋体" w:eastAsia="宋体"/>
          <w:lang w:val="en-US" w:eastAsia="zh-CN"/>
        </w:rPr>
        <w:t>30万元人民币</w:t>
      </w:r>
    </w:p>
    <w:p w14:paraId="500EA4AF">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宋体" w:hAnsi="宋体" w:eastAsia="宋体"/>
          <w:lang w:val="en-US" w:eastAsia="zh-CN"/>
        </w:rPr>
      </w:pPr>
      <w:r>
        <w:rPr>
          <w:rFonts w:hint="eastAsia" w:ascii="宋体" w:hAnsi="宋体" w:eastAsia="宋体"/>
        </w:rPr>
        <w:t>股权结构：</w:t>
      </w:r>
      <w:r>
        <w:rPr>
          <w:rFonts w:hint="eastAsia" w:ascii="宋体" w:hAnsi="宋体" w:eastAsia="宋体"/>
          <w:lang w:eastAsia="zh-CN"/>
        </w:rPr>
        <w:t>川茶集团</w:t>
      </w:r>
      <w:r>
        <w:rPr>
          <w:rFonts w:hint="eastAsia" w:ascii="宋体" w:hAnsi="宋体" w:eastAsia="宋体"/>
        </w:rPr>
        <w:t>持有</w:t>
      </w:r>
      <w:r>
        <w:rPr>
          <w:rFonts w:hint="eastAsia" w:ascii="宋体" w:hAnsi="宋体" w:eastAsia="宋体"/>
          <w:lang w:val="en-US" w:eastAsia="zh-CN"/>
        </w:rPr>
        <w:t>83.33</w:t>
      </w:r>
      <w:r>
        <w:rPr>
          <w:rFonts w:hint="eastAsia" w:ascii="宋体" w:hAnsi="宋体" w:eastAsia="宋体"/>
        </w:rPr>
        <w:t>%股权</w:t>
      </w:r>
      <w:r>
        <w:rPr>
          <w:rFonts w:hint="eastAsia" w:ascii="宋体" w:hAnsi="宋体" w:eastAsia="宋体"/>
          <w:lang w:eastAsia="zh-CN"/>
        </w:rPr>
        <w:t>，良种繁育场持有</w:t>
      </w:r>
      <w:r>
        <w:rPr>
          <w:rFonts w:hint="eastAsia" w:ascii="宋体" w:hAnsi="宋体" w:eastAsia="宋体"/>
          <w:lang w:val="en-US" w:eastAsia="zh-CN"/>
        </w:rPr>
        <w:t>16.67%股权。</w:t>
      </w:r>
    </w:p>
    <w:permEnd w:id="2"/>
    <w:p w14:paraId="7A196F14">
      <w:pPr>
        <w:pStyle w:val="33"/>
        <w:keepNext w:val="0"/>
        <w:keepLines w:val="0"/>
        <w:pageBreakBefore w:val="0"/>
        <w:widowControl w:val="0"/>
        <w:numPr>
          <w:ilvl w:val="0"/>
          <w:numId w:val="1"/>
        </w:numPr>
        <w:kinsoku/>
        <w:wordWrap/>
        <w:overflowPunct/>
        <w:topLinePunct w:val="0"/>
        <w:autoSpaceDE/>
        <w:autoSpaceDN/>
        <w:bidi w:val="0"/>
        <w:adjustRightInd/>
        <w:snapToGrid/>
        <w:spacing w:before="156" w:beforeLines="50" w:after="156" w:afterLines="50" w:line="400" w:lineRule="exact"/>
        <w:ind w:left="567" w:leftChars="0" w:hanging="567" w:firstLineChars="0"/>
        <w:textAlignment w:val="auto"/>
        <w:rPr>
          <w:rFonts w:ascii="宋体" w:hAnsi="宋体" w:eastAsia="宋体"/>
          <w:b/>
          <w:bCs/>
        </w:rPr>
      </w:pPr>
      <w:r>
        <w:rPr>
          <w:rFonts w:hint="eastAsia" w:ascii="宋体" w:hAnsi="宋体" w:eastAsia="宋体"/>
          <w:b/>
          <w:bCs/>
        </w:rPr>
        <w:t>采购范围及相关要求</w:t>
      </w:r>
    </w:p>
    <w:p w14:paraId="45D0967B">
      <w:pPr>
        <w:pStyle w:val="33"/>
        <w:keepNext w:val="0"/>
        <w:keepLines w:val="0"/>
        <w:pageBreakBefore w:val="0"/>
        <w:widowControl w:val="0"/>
        <w:numPr>
          <w:ilvl w:val="1"/>
          <w:numId w:val="1"/>
        </w:numPr>
        <w:kinsoku/>
        <w:wordWrap/>
        <w:overflowPunct/>
        <w:topLinePunct w:val="0"/>
        <w:autoSpaceDE/>
        <w:autoSpaceDN/>
        <w:bidi w:val="0"/>
        <w:adjustRightInd/>
        <w:snapToGrid/>
        <w:spacing w:line="400" w:lineRule="exact"/>
        <w:ind w:left="567" w:leftChars="0" w:hanging="567" w:firstLineChars="0"/>
        <w:jc w:val="left"/>
        <w:textAlignment w:val="auto"/>
        <w:rPr>
          <w:rFonts w:ascii="宋体" w:hAnsi="宋体" w:eastAsia="宋体"/>
        </w:rPr>
      </w:pPr>
      <w:r>
        <w:rPr>
          <w:rFonts w:hint="eastAsia" w:ascii="宋体" w:hAnsi="宋体" w:eastAsia="宋体"/>
          <w:lang w:val="en-US" w:eastAsia="zh-CN"/>
        </w:rPr>
        <w:t>采购范围：完成对宜宾叙府龙芽生态旅游开发有限公司股东全部权益价值评估。</w:t>
      </w:r>
      <w:r>
        <w:rPr>
          <w:rFonts w:hint="eastAsia" w:ascii="宋体" w:hAnsi="宋体" w:eastAsia="宋体"/>
          <w:lang w:val="en-US" w:eastAsia="zh-CN"/>
        </w:rPr>
        <w:br w:type="textWrapping"/>
      </w:r>
      <w:r>
        <w:rPr>
          <w:rFonts w:hint="eastAsia" w:ascii="宋体" w:hAnsi="宋体" w:eastAsia="宋体"/>
        </w:rPr>
        <w:t>计划工期/服务期：</w:t>
      </w:r>
      <w:permStart w:id="3" w:edGrp="everyone"/>
      <w:r>
        <w:rPr>
          <w:rFonts w:hint="eastAsia" w:ascii="宋体" w:hAnsi="宋体" w:eastAsia="宋体"/>
          <w:lang w:val="en-US" w:eastAsia="zh-CN"/>
        </w:rPr>
        <w:t>半年。</w:t>
      </w:r>
    </w:p>
    <w:permEnd w:id="3"/>
    <w:p w14:paraId="63889169">
      <w:pPr>
        <w:pStyle w:val="33"/>
        <w:keepNext w:val="0"/>
        <w:keepLines w:val="0"/>
        <w:pageBreakBefore w:val="0"/>
        <w:widowControl w:val="0"/>
        <w:numPr>
          <w:ilvl w:val="1"/>
          <w:numId w:val="1"/>
        </w:numPr>
        <w:kinsoku/>
        <w:wordWrap/>
        <w:overflowPunct/>
        <w:topLinePunct w:val="0"/>
        <w:autoSpaceDE/>
        <w:autoSpaceDN/>
        <w:bidi w:val="0"/>
        <w:adjustRightInd/>
        <w:snapToGrid/>
        <w:spacing w:line="400" w:lineRule="exact"/>
        <w:ind w:left="567" w:leftChars="0" w:hanging="567" w:firstLineChars="0"/>
        <w:textAlignment w:val="auto"/>
        <w:rPr>
          <w:rFonts w:ascii="宋体" w:hAnsi="宋体" w:eastAsia="宋体"/>
        </w:rPr>
      </w:pPr>
      <w:r>
        <w:rPr>
          <w:rFonts w:hint="eastAsia" w:ascii="宋体" w:hAnsi="宋体" w:eastAsia="宋体"/>
        </w:rPr>
        <w:t>供</w:t>
      </w:r>
      <w:r>
        <w:rPr>
          <w:rFonts w:hint="eastAsia" w:ascii="宋体" w:hAnsi="宋体" w:eastAsia="宋体"/>
          <w:lang w:val="en-US" w:eastAsia="zh-CN"/>
        </w:rPr>
        <w:t>货</w:t>
      </w:r>
      <w:r>
        <w:rPr>
          <w:rFonts w:hint="eastAsia" w:ascii="宋体" w:hAnsi="宋体" w:eastAsia="宋体"/>
        </w:rPr>
        <w:t>/服务地点：</w:t>
      </w:r>
      <w:permStart w:id="4" w:edGrp="everyone"/>
      <w:r>
        <w:rPr>
          <w:rFonts w:hint="eastAsia" w:ascii="宋体" w:hAnsi="宋体" w:eastAsia="宋体"/>
        </w:rPr>
        <w:t>宜宾。</w:t>
      </w:r>
      <w:permEnd w:id="4"/>
    </w:p>
    <w:p w14:paraId="2C5F820D">
      <w:pPr>
        <w:pStyle w:val="33"/>
        <w:keepNext w:val="0"/>
        <w:keepLines w:val="0"/>
        <w:pageBreakBefore w:val="0"/>
        <w:widowControl w:val="0"/>
        <w:numPr>
          <w:ilvl w:val="1"/>
          <w:numId w:val="1"/>
        </w:numPr>
        <w:kinsoku/>
        <w:wordWrap/>
        <w:overflowPunct/>
        <w:topLinePunct w:val="0"/>
        <w:autoSpaceDE/>
        <w:autoSpaceDN/>
        <w:bidi w:val="0"/>
        <w:adjustRightInd/>
        <w:snapToGrid/>
        <w:spacing w:line="400" w:lineRule="exact"/>
        <w:ind w:left="567" w:leftChars="0" w:hanging="567" w:firstLineChars="0"/>
        <w:textAlignment w:val="auto"/>
        <w:rPr>
          <w:rFonts w:ascii="宋体" w:hAnsi="宋体" w:eastAsia="宋体"/>
        </w:rPr>
      </w:pPr>
      <w:r>
        <w:rPr>
          <w:rFonts w:hint="eastAsia" w:ascii="宋体" w:hAnsi="宋体" w:eastAsia="宋体"/>
        </w:rPr>
        <w:t>质量要求：</w:t>
      </w:r>
      <w:permStart w:id="5" w:edGrp="everyone"/>
      <w:r>
        <w:rPr>
          <w:rFonts w:hint="eastAsia" w:ascii="宋体" w:hAnsi="宋体" w:eastAsia="宋体"/>
        </w:rPr>
        <w:t>合格。</w:t>
      </w:r>
      <w:permEnd w:id="5"/>
    </w:p>
    <w:p w14:paraId="4766F100">
      <w:pPr>
        <w:pStyle w:val="33"/>
        <w:keepNext w:val="0"/>
        <w:keepLines w:val="0"/>
        <w:pageBreakBefore w:val="0"/>
        <w:widowControl w:val="0"/>
        <w:numPr>
          <w:ilvl w:val="1"/>
          <w:numId w:val="1"/>
        </w:numPr>
        <w:kinsoku/>
        <w:wordWrap/>
        <w:overflowPunct/>
        <w:topLinePunct w:val="0"/>
        <w:autoSpaceDE/>
        <w:autoSpaceDN/>
        <w:bidi w:val="0"/>
        <w:adjustRightInd/>
        <w:snapToGrid/>
        <w:spacing w:line="400" w:lineRule="exact"/>
        <w:ind w:left="567" w:leftChars="0" w:hanging="567" w:firstLineChars="0"/>
        <w:textAlignment w:val="auto"/>
        <w:rPr>
          <w:rFonts w:ascii="宋体" w:hAnsi="宋体" w:eastAsia="宋体"/>
        </w:rPr>
      </w:pPr>
      <w:r>
        <w:rPr>
          <w:rFonts w:hint="eastAsia" w:ascii="宋体" w:hAnsi="宋体" w:eastAsia="宋体"/>
          <w:lang w:val="en-US" w:eastAsia="zh-CN"/>
        </w:rPr>
        <w:t>技术要求：</w:t>
      </w:r>
      <w:permStart w:id="6" w:edGrp="everyone"/>
      <w:r>
        <w:rPr>
          <w:rFonts w:hint="eastAsia" w:ascii="宋体" w:hAnsi="宋体" w:eastAsia="宋体"/>
          <w:lang w:val="en-US" w:eastAsia="zh-CN"/>
        </w:rPr>
        <w:t>服务单位具有评估资质</w:t>
      </w:r>
    </w:p>
    <w:permEnd w:id="6"/>
    <w:p w14:paraId="54924589">
      <w:pPr>
        <w:pStyle w:val="33"/>
        <w:keepNext w:val="0"/>
        <w:keepLines w:val="0"/>
        <w:pageBreakBefore w:val="0"/>
        <w:widowControl w:val="0"/>
        <w:numPr>
          <w:ilvl w:val="1"/>
          <w:numId w:val="1"/>
        </w:numPr>
        <w:kinsoku/>
        <w:wordWrap/>
        <w:overflowPunct/>
        <w:topLinePunct w:val="0"/>
        <w:autoSpaceDE/>
        <w:autoSpaceDN/>
        <w:bidi w:val="0"/>
        <w:adjustRightInd/>
        <w:snapToGrid/>
        <w:spacing w:line="400" w:lineRule="exact"/>
        <w:ind w:left="567" w:leftChars="0" w:hanging="567" w:firstLineChars="0"/>
        <w:textAlignment w:val="auto"/>
        <w:rPr>
          <w:rFonts w:ascii="宋体" w:hAnsi="宋体" w:eastAsia="宋体"/>
        </w:rPr>
      </w:pPr>
      <w:r>
        <w:rPr>
          <w:rFonts w:hint="eastAsia" w:ascii="宋体" w:hAnsi="宋体" w:eastAsia="宋体"/>
        </w:rPr>
        <w:t>付款方式：银行转账。</w:t>
      </w:r>
    </w:p>
    <w:p w14:paraId="2B86B27D">
      <w:pPr>
        <w:pStyle w:val="33"/>
        <w:keepNext w:val="0"/>
        <w:keepLines w:val="0"/>
        <w:pageBreakBefore w:val="0"/>
        <w:widowControl w:val="0"/>
        <w:numPr>
          <w:ilvl w:val="0"/>
          <w:numId w:val="1"/>
        </w:numPr>
        <w:kinsoku/>
        <w:wordWrap/>
        <w:overflowPunct/>
        <w:topLinePunct w:val="0"/>
        <w:autoSpaceDE/>
        <w:autoSpaceDN/>
        <w:bidi w:val="0"/>
        <w:adjustRightInd/>
        <w:snapToGrid/>
        <w:spacing w:before="156" w:beforeLines="50" w:after="156" w:afterLines="50" w:line="400" w:lineRule="exact"/>
        <w:ind w:left="567" w:leftChars="0" w:hanging="567" w:firstLineChars="0"/>
        <w:textAlignment w:val="auto"/>
        <w:rPr>
          <w:rFonts w:ascii="宋体" w:hAnsi="宋体" w:eastAsia="宋体"/>
          <w:b/>
          <w:bCs/>
        </w:rPr>
      </w:pPr>
      <w:r>
        <w:rPr>
          <w:rFonts w:hint="eastAsia" w:ascii="宋体" w:hAnsi="宋体" w:eastAsia="宋体"/>
          <w:b/>
          <w:bCs/>
        </w:rPr>
        <w:t>供应商资格要求：</w:t>
      </w:r>
    </w:p>
    <w:p w14:paraId="5CF983CA">
      <w:pPr>
        <w:pStyle w:val="33"/>
        <w:keepNext w:val="0"/>
        <w:keepLines w:val="0"/>
        <w:pageBreakBefore w:val="0"/>
        <w:widowControl w:val="0"/>
        <w:numPr>
          <w:ilvl w:val="1"/>
          <w:numId w:val="1"/>
        </w:numPr>
        <w:kinsoku/>
        <w:wordWrap/>
        <w:overflowPunct/>
        <w:topLinePunct w:val="0"/>
        <w:autoSpaceDE/>
        <w:autoSpaceDN/>
        <w:bidi w:val="0"/>
        <w:adjustRightInd/>
        <w:snapToGrid/>
        <w:spacing w:line="400" w:lineRule="exact"/>
        <w:ind w:left="567" w:leftChars="0" w:hanging="567" w:firstLineChars="0"/>
        <w:textAlignment w:val="auto"/>
        <w:rPr>
          <w:rFonts w:ascii="宋体" w:hAnsi="宋体" w:eastAsia="宋体"/>
        </w:rPr>
      </w:pPr>
      <w:r>
        <w:rPr>
          <w:rFonts w:hint="eastAsia" w:ascii="宋体" w:hAnsi="宋体" w:eastAsia="宋体"/>
        </w:rPr>
        <w:t>资格要求：独立法人</w:t>
      </w:r>
      <w:r>
        <w:rPr>
          <w:rFonts w:hint="eastAsia" w:ascii="宋体" w:hAnsi="宋体" w:eastAsia="宋体"/>
          <w:lang w:eastAsia="zh-CN"/>
        </w:rPr>
        <w:t>。</w:t>
      </w:r>
    </w:p>
    <w:p w14:paraId="54FD5573">
      <w:pPr>
        <w:pStyle w:val="33"/>
        <w:keepNext w:val="0"/>
        <w:keepLines w:val="0"/>
        <w:pageBreakBefore w:val="0"/>
        <w:widowControl w:val="0"/>
        <w:numPr>
          <w:ilvl w:val="1"/>
          <w:numId w:val="1"/>
        </w:numPr>
        <w:kinsoku/>
        <w:wordWrap/>
        <w:overflowPunct/>
        <w:topLinePunct w:val="0"/>
        <w:autoSpaceDE/>
        <w:autoSpaceDN/>
        <w:bidi w:val="0"/>
        <w:adjustRightInd/>
        <w:snapToGrid/>
        <w:spacing w:line="400" w:lineRule="exact"/>
        <w:ind w:left="567" w:leftChars="0" w:hanging="567" w:firstLineChars="0"/>
        <w:textAlignment w:val="auto"/>
        <w:rPr>
          <w:rFonts w:ascii="宋体" w:hAnsi="宋体" w:eastAsia="宋体"/>
        </w:rPr>
      </w:pPr>
      <w:r>
        <w:rPr>
          <w:rFonts w:hint="eastAsia" w:ascii="宋体" w:hAnsi="宋体" w:eastAsia="宋体"/>
        </w:rPr>
        <w:t>资质要求：</w:t>
      </w:r>
      <w:r>
        <w:rPr>
          <w:rFonts w:hint="eastAsia" w:ascii="宋体" w:hAnsi="宋体" w:eastAsia="宋体"/>
          <w:lang w:val="en-US" w:eastAsia="zh-CN"/>
        </w:rPr>
        <w:t>应具备的资质、许可证、备案表等符合相关法律法规及主管部门的管理要求。</w:t>
      </w:r>
    </w:p>
    <w:p w14:paraId="3BCC26C0">
      <w:pPr>
        <w:pStyle w:val="33"/>
        <w:keepNext w:val="0"/>
        <w:keepLines w:val="0"/>
        <w:pageBreakBefore w:val="0"/>
        <w:widowControl w:val="0"/>
        <w:numPr>
          <w:ilvl w:val="1"/>
          <w:numId w:val="1"/>
        </w:numPr>
        <w:kinsoku/>
        <w:wordWrap/>
        <w:overflowPunct/>
        <w:topLinePunct w:val="0"/>
        <w:autoSpaceDE/>
        <w:autoSpaceDN/>
        <w:bidi w:val="0"/>
        <w:adjustRightInd/>
        <w:snapToGrid/>
        <w:spacing w:line="400" w:lineRule="exact"/>
        <w:ind w:left="567" w:leftChars="0" w:hanging="567" w:firstLineChars="0"/>
        <w:textAlignment w:val="auto"/>
        <w:rPr>
          <w:rFonts w:ascii="宋体" w:hAnsi="宋体" w:eastAsia="宋体"/>
        </w:rPr>
      </w:pPr>
      <w:r>
        <w:rPr>
          <w:rFonts w:hint="eastAsia" w:ascii="宋体" w:hAnsi="宋体" w:eastAsia="宋体"/>
        </w:rPr>
        <w:t>业绩要求：具备与本项目类似的丰富的履约经验</w:t>
      </w:r>
      <w:r>
        <w:rPr>
          <w:rFonts w:hint="eastAsia" w:ascii="宋体" w:hAnsi="宋体" w:eastAsia="宋体"/>
          <w:lang w:eastAsia="zh-CN"/>
        </w:rPr>
        <w:t>。</w:t>
      </w:r>
    </w:p>
    <w:p w14:paraId="766BDBD2">
      <w:pPr>
        <w:pStyle w:val="33"/>
        <w:keepNext w:val="0"/>
        <w:keepLines w:val="0"/>
        <w:pageBreakBefore w:val="0"/>
        <w:widowControl w:val="0"/>
        <w:numPr>
          <w:ilvl w:val="1"/>
          <w:numId w:val="1"/>
        </w:numPr>
        <w:kinsoku/>
        <w:wordWrap/>
        <w:overflowPunct/>
        <w:topLinePunct w:val="0"/>
        <w:autoSpaceDE/>
        <w:autoSpaceDN/>
        <w:bidi w:val="0"/>
        <w:adjustRightInd/>
        <w:snapToGrid/>
        <w:spacing w:line="400" w:lineRule="exact"/>
        <w:ind w:left="567" w:leftChars="0" w:hanging="567" w:firstLineChars="0"/>
        <w:textAlignment w:val="auto"/>
        <w:rPr>
          <w:rFonts w:ascii="宋体" w:hAnsi="宋体" w:eastAsia="宋体"/>
        </w:rPr>
      </w:pPr>
      <w:r>
        <w:rPr>
          <w:rFonts w:hint="eastAsia" w:ascii="宋体" w:hAnsi="宋体" w:eastAsia="宋体"/>
        </w:rPr>
        <w:t>其他要求：</w:t>
      </w:r>
      <w:permStart w:id="7" w:edGrp="everyone"/>
      <w:r>
        <w:rPr>
          <w:rFonts w:hint="eastAsia"/>
        </w:rPr>
        <w:t>/</w:t>
      </w:r>
    </w:p>
    <w:permEnd w:id="7"/>
    <w:p w14:paraId="74127BB1">
      <w:pPr>
        <w:pStyle w:val="33"/>
        <w:keepNext w:val="0"/>
        <w:keepLines w:val="0"/>
        <w:pageBreakBefore w:val="0"/>
        <w:widowControl w:val="0"/>
        <w:numPr>
          <w:ilvl w:val="0"/>
          <w:numId w:val="1"/>
        </w:numPr>
        <w:kinsoku/>
        <w:wordWrap/>
        <w:overflowPunct/>
        <w:topLinePunct w:val="0"/>
        <w:autoSpaceDE/>
        <w:autoSpaceDN/>
        <w:bidi w:val="0"/>
        <w:adjustRightInd/>
        <w:snapToGrid/>
        <w:spacing w:before="156" w:beforeLines="50" w:after="156" w:afterLines="50" w:line="400" w:lineRule="exact"/>
        <w:ind w:left="567" w:leftChars="0" w:hanging="567" w:firstLineChars="0"/>
        <w:textAlignment w:val="auto"/>
        <w:rPr>
          <w:rFonts w:ascii="宋体" w:hAnsi="宋体" w:eastAsia="宋体"/>
          <w:b/>
          <w:bCs/>
        </w:rPr>
      </w:pPr>
      <w:r>
        <w:rPr>
          <w:rFonts w:hint="eastAsia" w:ascii="宋体" w:hAnsi="宋体" w:eastAsia="宋体"/>
          <w:b/>
          <w:bCs/>
        </w:rPr>
        <w:t>报名要求</w:t>
      </w:r>
    </w:p>
    <w:p w14:paraId="06BD956F">
      <w:pPr>
        <w:pStyle w:val="33"/>
        <w:keepNext w:val="0"/>
        <w:keepLines w:val="0"/>
        <w:pageBreakBefore w:val="0"/>
        <w:widowControl w:val="0"/>
        <w:numPr>
          <w:ilvl w:val="1"/>
          <w:numId w:val="1"/>
        </w:numPr>
        <w:kinsoku/>
        <w:wordWrap/>
        <w:overflowPunct/>
        <w:topLinePunct w:val="0"/>
        <w:autoSpaceDE/>
        <w:autoSpaceDN/>
        <w:bidi w:val="0"/>
        <w:adjustRightInd/>
        <w:snapToGrid/>
        <w:spacing w:line="400" w:lineRule="exact"/>
        <w:ind w:left="567" w:leftChars="0" w:hanging="567" w:firstLineChars="0"/>
        <w:textAlignment w:val="auto"/>
        <w:rPr>
          <w:rFonts w:ascii="宋体" w:hAnsi="宋体" w:eastAsia="宋体"/>
        </w:rPr>
      </w:pPr>
      <w:r>
        <w:rPr>
          <w:rFonts w:hint="eastAsia" w:ascii="宋体" w:hAnsi="宋体" w:eastAsia="宋体"/>
        </w:rPr>
        <w:t>截止时间：</w:t>
      </w:r>
      <w:permStart w:id="8" w:edGrp="everyone"/>
      <w:r>
        <w:rPr>
          <w:rFonts w:hint="eastAsia" w:ascii="宋体" w:hAnsi="宋体" w:eastAsia="宋体"/>
          <w:lang w:val="en-US" w:eastAsia="zh-CN"/>
        </w:rPr>
        <w:t>2025年10月17日12:00</w:t>
      </w:r>
      <w:permEnd w:id="8"/>
    </w:p>
    <w:p w14:paraId="3F3CDF39">
      <w:pPr>
        <w:pStyle w:val="33"/>
        <w:keepNext w:val="0"/>
        <w:keepLines w:val="0"/>
        <w:pageBreakBefore w:val="0"/>
        <w:widowControl w:val="0"/>
        <w:numPr>
          <w:ilvl w:val="1"/>
          <w:numId w:val="1"/>
        </w:numPr>
        <w:kinsoku/>
        <w:wordWrap w:val="0"/>
        <w:overflowPunct/>
        <w:topLinePunct w:val="0"/>
        <w:autoSpaceDE/>
        <w:autoSpaceDN/>
        <w:bidi w:val="0"/>
        <w:adjustRightInd/>
        <w:snapToGrid/>
        <w:spacing w:line="400" w:lineRule="exact"/>
        <w:ind w:left="567" w:leftChars="0" w:hanging="567" w:firstLineChars="0"/>
        <w:textAlignment w:val="auto"/>
        <w:rPr>
          <w:rFonts w:ascii="宋体" w:hAnsi="宋体" w:eastAsia="宋体"/>
        </w:rPr>
      </w:pPr>
      <w:r>
        <w:rPr>
          <w:rFonts w:hint="eastAsia" w:ascii="宋体" w:hAnsi="宋体" w:eastAsia="宋体"/>
        </w:rPr>
        <w:t>报名要求：</w:t>
      </w:r>
    </w:p>
    <w:p w14:paraId="7E2299B2">
      <w:pPr>
        <w:pStyle w:val="33"/>
        <w:keepNext w:val="0"/>
        <w:keepLines w:val="0"/>
        <w:pageBreakBefore w:val="0"/>
        <w:widowControl w:val="0"/>
        <w:numPr>
          <w:ilvl w:val="0"/>
          <w:numId w:val="2"/>
        </w:numPr>
        <w:kinsoku/>
        <w:wordWrap w:val="0"/>
        <w:overflowPunct/>
        <w:topLinePunct w:val="0"/>
        <w:autoSpaceDE/>
        <w:autoSpaceDN/>
        <w:bidi w:val="0"/>
        <w:adjustRightInd/>
        <w:snapToGrid/>
        <w:spacing w:line="400" w:lineRule="exact"/>
        <w:ind w:left="567" w:leftChars="0" w:firstLine="0" w:firstLineChars="0"/>
        <w:textAlignment w:val="auto"/>
        <w:rPr>
          <w:rFonts w:ascii="宋体" w:hAnsi="宋体" w:eastAsia="宋体"/>
        </w:rPr>
      </w:pPr>
      <w:r>
        <w:rPr>
          <w:rFonts w:hint="eastAsia" w:ascii="宋体" w:hAnsi="宋体" w:eastAsia="宋体"/>
        </w:rPr>
        <w:t>请有意向的供应商在截止时间前将盖章的报价文件（亦可包含</w:t>
      </w:r>
      <w:r>
        <w:rPr>
          <w:rFonts w:hint="eastAsia" w:ascii="宋体" w:hAnsi="宋体" w:eastAsia="宋体"/>
          <w:lang w:val="en-US" w:eastAsia="zh-CN"/>
        </w:rPr>
        <w:t>承接本项目应具备的资质备案许可要求、行业主流或优质供方应具备的条件、</w:t>
      </w:r>
      <w:r>
        <w:rPr>
          <w:rFonts w:hint="eastAsia" w:ascii="宋体" w:hAnsi="宋体" w:eastAsia="宋体"/>
        </w:rPr>
        <w:t>项目技术要求、商务</w:t>
      </w:r>
      <w:r>
        <w:rPr>
          <w:rFonts w:hint="eastAsia" w:ascii="宋体" w:hAnsi="宋体" w:eastAsia="宋体"/>
          <w:lang w:val="en-US" w:eastAsia="zh-CN"/>
        </w:rPr>
        <w:t>条款的</w:t>
      </w:r>
      <w:r>
        <w:rPr>
          <w:rFonts w:hint="eastAsia" w:ascii="宋体" w:hAnsi="宋体" w:eastAsia="宋体"/>
        </w:rPr>
        <w:t>建议等）以“单位名称+寻源项目名称”为标题</w:t>
      </w:r>
      <w:r>
        <w:rPr>
          <w:rFonts w:hint="eastAsia" w:ascii="宋体" w:hAnsi="宋体" w:eastAsia="宋体"/>
          <w:lang w:val="en-US" w:eastAsia="zh-CN"/>
        </w:rPr>
        <w:t>发送至采购人招标处。</w:t>
      </w:r>
    </w:p>
    <w:p w14:paraId="79BF6B50">
      <w:pPr>
        <w:pStyle w:val="33"/>
        <w:keepNext w:val="0"/>
        <w:keepLines w:val="0"/>
        <w:pageBreakBefore w:val="0"/>
        <w:widowControl w:val="0"/>
        <w:numPr>
          <w:ilvl w:val="0"/>
          <w:numId w:val="2"/>
        </w:numPr>
        <w:kinsoku/>
        <w:wordWrap/>
        <w:overflowPunct/>
        <w:topLinePunct w:val="0"/>
        <w:autoSpaceDE/>
        <w:autoSpaceDN/>
        <w:bidi w:val="0"/>
        <w:adjustRightInd/>
        <w:snapToGrid/>
        <w:spacing w:line="400" w:lineRule="exact"/>
        <w:ind w:left="567" w:leftChars="0" w:firstLine="0" w:firstLineChars="0"/>
        <w:textAlignment w:val="auto"/>
        <w:rPr>
          <w:rFonts w:ascii="宋体" w:hAnsi="宋体" w:eastAsia="宋体"/>
        </w:rPr>
      </w:pPr>
      <w:r>
        <w:rPr>
          <w:rFonts w:hint="eastAsia" w:ascii="宋体" w:hAnsi="宋体" w:eastAsia="宋体"/>
        </w:rPr>
        <w:t>我方将在下一步正式招标采购活动中</w:t>
      </w:r>
      <w:r>
        <w:rPr>
          <w:rFonts w:hint="eastAsia" w:ascii="宋体" w:hAnsi="宋体" w:eastAsia="宋体"/>
          <w:lang w:val="en-US" w:eastAsia="zh-CN"/>
        </w:rPr>
        <w:t>视情况</w:t>
      </w:r>
      <w:r>
        <w:rPr>
          <w:rFonts w:hint="eastAsia" w:ascii="宋体" w:hAnsi="宋体" w:eastAsia="宋体"/>
        </w:rPr>
        <w:t>邀请参与寻源的供应商参与投标。</w:t>
      </w:r>
    </w:p>
    <w:p w14:paraId="39B4DF89">
      <w:pPr>
        <w:pStyle w:val="33"/>
        <w:keepNext w:val="0"/>
        <w:keepLines w:val="0"/>
        <w:pageBreakBefore w:val="0"/>
        <w:widowControl w:val="0"/>
        <w:numPr>
          <w:ilvl w:val="0"/>
          <w:numId w:val="2"/>
        </w:numPr>
        <w:kinsoku/>
        <w:wordWrap/>
        <w:overflowPunct/>
        <w:topLinePunct w:val="0"/>
        <w:autoSpaceDE/>
        <w:autoSpaceDN/>
        <w:bidi w:val="0"/>
        <w:adjustRightInd/>
        <w:snapToGrid/>
        <w:spacing w:line="400" w:lineRule="exact"/>
        <w:ind w:left="567" w:leftChars="0" w:firstLine="0" w:firstLineChars="0"/>
        <w:textAlignment w:val="auto"/>
        <w:rPr>
          <w:rFonts w:ascii="宋体" w:hAnsi="宋体" w:eastAsia="宋体"/>
        </w:rPr>
      </w:pPr>
      <w:permStart w:id="9" w:edGrp="everyone"/>
      <w:r>
        <w:rPr>
          <w:rFonts w:hint="eastAsia" w:ascii="宋体" w:hAnsi="宋体" w:eastAsia="宋体"/>
          <w:lang w:val="en-US" w:eastAsia="zh-CN"/>
        </w:rPr>
        <w:t>报价单格式见附件。</w:t>
      </w:r>
    </w:p>
    <w:permEnd w:id="9"/>
    <w:p w14:paraId="4C3BA49B">
      <w:pPr>
        <w:pStyle w:val="33"/>
        <w:keepNext w:val="0"/>
        <w:keepLines w:val="0"/>
        <w:pageBreakBefore w:val="0"/>
        <w:widowControl w:val="0"/>
        <w:numPr>
          <w:ilvl w:val="0"/>
          <w:numId w:val="2"/>
        </w:numPr>
        <w:kinsoku/>
        <w:wordWrap/>
        <w:overflowPunct/>
        <w:topLinePunct w:val="0"/>
        <w:autoSpaceDE/>
        <w:autoSpaceDN/>
        <w:bidi w:val="0"/>
        <w:adjustRightInd/>
        <w:snapToGrid/>
        <w:spacing w:line="400" w:lineRule="exact"/>
        <w:ind w:left="567" w:leftChars="0" w:firstLine="0" w:firstLineChars="0"/>
        <w:textAlignment w:val="auto"/>
        <w:rPr>
          <w:rFonts w:ascii="宋体" w:hAnsi="宋体" w:eastAsia="宋体"/>
        </w:rPr>
      </w:pPr>
      <w:r>
        <w:rPr>
          <w:rFonts w:hint="eastAsia" w:ascii="宋体" w:hAnsi="宋体" w:eastAsia="宋体"/>
          <w:lang w:val="en-US" w:eastAsia="zh-CN"/>
        </w:rPr>
        <w:t>技术、商务条款的合理化建议：格式自拟，无建议可不提供。</w:t>
      </w:r>
    </w:p>
    <w:p w14:paraId="3C47A575">
      <w:pPr>
        <w:pStyle w:val="33"/>
        <w:keepNext w:val="0"/>
        <w:keepLines w:val="0"/>
        <w:pageBreakBefore w:val="0"/>
        <w:widowControl w:val="0"/>
        <w:numPr>
          <w:ilvl w:val="0"/>
          <w:numId w:val="1"/>
        </w:numPr>
        <w:kinsoku/>
        <w:wordWrap/>
        <w:overflowPunct/>
        <w:topLinePunct w:val="0"/>
        <w:autoSpaceDE/>
        <w:autoSpaceDN/>
        <w:bidi w:val="0"/>
        <w:adjustRightInd/>
        <w:snapToGrid/>
        <w:spacing w:before="156" w:beforeLines="50" w:after="156" w:afterLines="50" w:line="400" w:lineRule="exact"/>
        <w:ind w:left="567" w:leftChars="0" w:hanging="567" w:firstLineChars="0"/>
        <w:textAlignment w:val="auto"/>
        <w:rPr>
          <w:rFonts w:ascii="宋体" w:hAnsi="宋体" w:eastAsia="宋体"/>
          <w:b/>
          <w:bCs/>
        </w:rPr>
      </w:pPr>
      <w:r>
        <w:rPr>
          <w:rFonts w:hint="eastAsia" w:ascii="宋体" w:hAnsi="宋体" w:eastAsia="宋体"/>
          <w:b/>
          <w:bCs/>
        </w:rPr>
        <w:t>发布公告的媒介</w:t>
      </w:r>
    </w:p>
    <w:p w14:paraId="686B0DB7">
      <w:pPr>
        <w:keepNext w:val="0"/>
        <w:keepLines w:val="0"/>
        <w:pageBreakBefore w:val="0"/>
        <w:widowControl w:val="0"/>
        <w:kinsoku/>
        <w:wordWrap w:val="0"/>
        <w:overflowPunct/>
        <w:topLinePunct w:val="0"/>
        <w:autoSpaceDE/>
        <w:autoSpaceDN/>
        <w:bidi w:val="0"/>
        <w:adjustRightInd/>
        <w:snapToGrid/>
        <w:spacing w:line="400" w:lineRule="exact"/>
        <w:ind w:firstLine="420" w:firstLineChars="0"/>
        <w:textAlignment w:val="auto"/>
        <w:rPr>
          <w:rFonts w:ascii="宋体" w:hAnsi="宋体" w:eastAsia="宋体"/>
        </w:rPr>
      </w:pPr>
      <w:r>
        <w:rPr>
          <w:rFonts w:ascii="宋体" w:hAnsi="宋体" w:eastAsia="宋体"/>
        </w:rPr>
        <w:t>本公告在</w:t>
      </w:r>
      <w:r>
        <w:rPr>
          <w:rFonts w:hint="eastAsia" w:ascii="宋体" w:hAnsi="宋体" w:eastAsia="宋体"/>
        </w:rPr>
        <w:t>宜宾企业阳光采购服务平台（https://ybqyygcgfwpt.com）</w:t>
      </w:r>
      <w:r>
        <w:rPr>
          <w:rFonts w:hint="eastAsia" w:ascii="宋体" w:hAnsi="宋体" w:eastAsia="宋体"/>
          <w:lang w:eastAsia="zh-CN"/>
        </w:rPr>
        <w:t>、</w:t>
      </w:r>
      <w:r>
        <w:rPr>
          <w:rFonts w:ascii="宋体" w:hAnsi="宋体" w:eastAsia="宋体"/>
        </w:rPr>
        <w:t>四川省茶业集团股份有限公司官网上发布。</w:t>
      </w:r>
    </w:p>
    <w:p w14:paraId="26ECC868">
      <w:pPr>
        <w:pStyle w:val="33"/>
        <w:keepNext w:val="0"/>
        <w:keepLines w:val="0"/>
        <w:pageBreakBefore w:val="0"/>
        <w:widowControl w:val="0"/>
        <w:numPr>
          <w:ilvl w:val="0"/>
          <w:numId w:val="1"/>
        </w:numPr>
        <w:kinsoku/>
        <w:wordWrap/>
        <w:overflowPunct/>
        <w:topLinePunct w:val="0"/>
        <w:autoSpaceDE/>
        <w:autoSpaceDN/>
        <w:bidi w:val="0"/>
        <w:adjustRightInd/>
        <w:snapToGrid/>
        <w:spacing w:before="156" w:beforeLines="50" w:after="156" w:afterLines="50" w:line="400" w:lineRule="exact"/>
        <w:ind w:left="567" w:leftChars="0" w:hanging="567" w:firstLineChars="0"/>
        <w:textAlignment w:val="auto"/>
        <w:rPr>
          <w:rFonts w:ascii="宋体" w:hAnsi="宋体" w:eastAsia="宋体"/>
          <w:b/>
          <w:bCs/>
        </w:rPr>
      </w:pPr>
      <w:r>
        <w:rPr>
          <w:rFonts w:hint="eastAsia" w:ascii="宋体" w:hAnsi="宋体" w:eastAsia="宋体"/>
          <w:b/>
          <w:bCs/>
        </w:rPr>
        <w:t>其他</w:t>
      </w:r>
    </w:p>
    <w:p w14:paraId="45A29834">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ascii="宋体" w:hAnsi="宋体" w:eastAsia="宋体"/>
        </w:rPr>
      </w:pPr>
      <w:r>
        <w:rPr>
          <w:rFonts w:hint="eastAsia" w:ascii="宋体" w:hAnsi="宋体" w:eastAsia="宋体"/>
        </w:rPr>
        <w:t>本次信息发布仅为采购</w:t>
      </w:r>
      <w:r>
        <w:rPr>
          <w:rFonts w:hint="eastAsia" w:ascii="宋体" w:hAnsi="宋体" w:eastAsia="宋体"/>
          <w:lang w:val="en-US" w:eastAsia="zh-CN"/>
        </w:rPr>
        <w:t>寻源</w:t>
      </w:r>
      <w:r>
        <w:rPr>
          <w:rFonts w:hint="eastAsia" w:ascii="宋体" w:hAnsi="宋体" w:eastAsia="宋体"/>
        </w:rPr>
        <w:t>，最终信息请以正式采购公告为准。</w:t>
      </w:r>
    </w:p>
    <w:p w14:paraId="0BFC53F7">
      <w:pPr>
        <w:pStyle w:val="33"/>
        <w:keepNext w:val="0"/>
        <w:keepLines w:val="0"/>
        <w:pageBreakBefore w:val="0"/>
        <w:widowControl w:val="0"/>
        <w:numPr>
          <w:ilvl w:val="0"/>
          <w:numId w:val="1"/>
        </w:numPr>
        <w:kinsoku/>
        <w:wordWrap/>
        <w:overflowPunct/>
        <w:topLinePunct w:val="0"/>
        <w:autoSpaceDE/>
        <w:autoSpaceDN/>
        <w:bidi w:val="0"/>
        <w:adjustRightInd/>
        <w:snapToGrid/>
        <w:spacing w:before="156" w:beforeLines="50" w:after="156" w:afterLines="50" w:line="400" w:lineRule="exact"/>
        <w:ind w:left="567" w:leftChars="0" w:hanging="567" w:firstLineChars="0"/>
        <w:textAlignment w:val="auto"/>
        <w:rPr>
          <w:rFonts w:ascii="宋体" w:hAnsi="宋体" w:eastAsia="宋体"/>
          <w:b/>
          <w:bCs/>
        </w:rPr>
      </w:pPr>
      <w:r>
        <w:rPr>
          <w:rFonts w:hint="eastAsia" w:ascii="宋体" w:hAnsi="宋体" w:eastAsia="宋体"/>
          <w:b/>
          <w:bCs/>
        </w:rPr>
        <w:t>联系方式</w:t>
      </w:r>
    </w:p>
    <w:p w14:paraId="7A4BF86C">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ascii="宋体" w:hAnsi="宋体" w:eastAsia="宋体"/>
        </w:rPr>
      </w:pPr>
      <w:r>
        <w:rPr>
          <w:rFonts w:hint="eastAsia" w:ascii="宋体" w:hAnsi="宋体" w:eastAsia="宋体"/>
        </w:rPr>
        <w:t>联系人：</w:t>
      </w:r>
      <w:r>
        <w:rPr>
          <w:rFonts w:hint="eastAsia" w:ascii="宋体" w:hAnsi="宋体" w:eastAsia="宋体"/>
          <w:lang w:val="en-US" w:eastAsia="zh-CN"/>
        </w:rPr>
        <w:t>/</w:t>
      </w:r>
    </w:p>
    <w:p w14:paraId="6B8BDD0C">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hint="default" w:ascii="宋体" w:hAnsi="宋体" w:eastAsia="宋体"/>
          <w:lang w:val="en-US" w:eastAsia="zh-CN"/>
        </w:rPr>
      </w:pPr>
      <w:r>
        <w:rPr>
          <w:rFonts w:hint="eastAsia" w:ascii="宋体" w:hAnsi="宋体" w:eastAsia="宋体"/>
          <w:lang w:val="en-US" w:eastAsia="zh-CN"/>
        </w:rPr>
        <w:t>邮箱：work5_ifihv1g9id@aka.yeah.net</w:t>
      </w:r>
    </w:p>
    <w:p w14:paraId="248F4A6C">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ascii="宋体" w:hAnsi="宋体" w:eastAsia="宋体"/>
        </w:rPr>
      </w:pPr>
      <w:r>
        <w:rPr>
          <w:rFonts w:hint="eastAsia" w:ascii="宋体" w:hAnsi="宋体" w:eastAsia="宋体"/>
        </w:rPr>
        <w:t>联系地址：</w:t>
      </w:r>
      <w:r>
        <w:rPr>
          <w:rFonts w:ascii="宋体" w:hAnsi="宋体" w:eastAsia="宋体"/>
        </w:rPr>
        <w:t>宜宾市旧州开发区红丰东路19号</w:t>
      </w:r>
    </w:p>
    <w:p w14:paraId="4EDD42B5">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Fonts w:ascii="宋体" w:hAnsi="宋体" w:eastAsia="宋体"/>
        </w:rPr>
      </w:pPr>
      <w:r>
        <w:rPr>
          <w:rFonts w:hint="eastAsia" w:ascii="宋体" w:hAnsi="宋体" w:eastAsia="宋体"/>
        </w:rPr>
        <w:t>邮编：644000</w:t>
      </w:r>
    </w:p>
    <w:p w14:paraId="3DA1C221">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Style w:val="19"/>
          <w:rFonts w:ascii="宋体" w:hAnsi="宋体" w:eastAsia="宋体"/>
          <w:color w:val="auto"/>
        </w:rPr>
      </w:pPr>
      <w:r>
        <w:rPr>
          <w:rFonts w:hint="eastAsia" w:ascii="宋体" w:hAnsi="宋体" w:eastAsia="宋体"/>
          <w:color w:val="auto"/>
        </w:rPr>
        <w:t>网址：</w:t>
      </w:r>
      <w:r>
        <w:rPr>
          <w:color w:val="auto"/>
        </w:rPr>
        <w:fldChar w:fldCharType="begin"/>
      </w:r>
      <w:r>
        <w:rPr>
          <w:color w:val="auto"/>
        </w:rPr>
        <w:instrText xml:space="preserve"> HYPERLINK "http://www.scteag.com/" </w:instrText>
      </w:r>
      <w:r>
        <w:rPr>
          <w:color w:val="auto"/>
        </w:rPr>
        <w:fldChar w:fldCharType="separate"/>
      </w:r>
      <w:r>
        <w:rPr>
          <w:rStyle w:val="18"/>
          <w:rFonts w:ascii="宋体" w:hAnsi="宋体" w:eastAsia="宋体"/>
          <w:color w:val="auto"/>
        </w:rPr>
        <w:t>http://www.scteag.com/</w:t>
      </w:r>
      <w:r>
        <w:rPr>
          <w:rStyle w:val="19"/>
          <w:rFonts w:ascii="宋体" w:hAnsi="宋体" w:eastAsia="宋体"/>
          <w:color w:val="auto"/>
        </w:rPr>
        <w:fldChar w:fldCharType="end"/>
      </w:r>
    </w:p>
    <w:p w14:paraId="363C4D0F">
      <w:pPr>
        <w:keepNext w:val="0"/>
        <w:keepLines w:val="0"/>
        <w:pageBreakBefore w:val="0"/>
        <w:widowControl w:val="0"/>
        <w:kinsoku/>
        <w:wordWrap/>
        <w:overflowPunct/>
        <w:topLinePunct w:val="0"/>
        <w:autoSpaceDE/>
        <w:autoSpaceDN/>
        <w:bidi w:val="0"/>
        <w:adjustRightInd/>
        <w:snapToGrid/>
        <w:spacing w:line="400" w:lineRule="exact"/>
        <w:ind w:firstLine="420" w:firstLineChars="0"/>
        <w:textAlignment w:val="auto"/>
        <w:rPr>
          <w:rStyle w:val="19"/>
          <w:rFonts w:ascii="宋体" w:hAnsi="宋体" w:eastAsia="宋体"/>
          <w:color w:val="auto"/>
        </w:rPr>
      </w:pPr>
    </w:p>
    <w:p w14:paraId="7CBED90B">
      <w:pPr>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hint="eastAsia" w:ascii="宋体" w:hAnsi="宋体" w:eastAsia="宋体"/>
        </w:rPr>
      </w:pPr>
      <w:permStart w:id="10" w:edGrp="everyone"/>
      <w:r>
        <w:rPr>
          <w:rFonts w:hint="eastAsia" w:ascii="宋体" w:hAnsi="宋体" w:eastAsia="宋体"/>
        </w:rPr>
        <w:t>2025年</w:t>
      </w:r>
      <w:r>
        <w:rPr>
          <w:rFonts w:hint="eastAsia" w:ascii="宋体" w:hAnsi="宋体" w:eastAsia="宋体"/>
          <w:lang w:val="en-US" w:eastAsia="zh-CN"/>
        </w:rPr>
        <w:t>10</w:t>
      </w:r>
      <w:r>
        <w:rPr>
          <w:rFonts w:hint="eastAsia" w:ascii="宋体" w:hAnsi="宋体" w:eastAsia="宋体"/>
        </w:rPr>
        <w:t>月</w:t>
      </w:r>
      <w:r>
        <w:rPr>
          <w:rFonts w:hint="eastAsia" w:ascii="宋体" w:hAnsi="宋体" w:eastAsia="宋体"/>
          <w:lang w:val="en-US" w:eastAsia="zh-CN"/>
        </w:rPr>
        <w:t>9</w:t>
      </w:r>
      <w:r>
        <w:rPr>
          <w:rFonts w:hint="eastAsia" w:ascii="宋体" w:hAnsi="宋体" w:eastAsia="宋体"/>
        </w:rPr>
        <w:t>日</w:t>
      </w:r>
      <w:permEnd w:id="1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ACF3C50" w:usb2="00000016" w:usb3="00000000" w:csb0="0004001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Light">
    <w:altName w:val="AMGDT"/>
    <w:panose1 w:val="00000000000000000000"/>
    <w:charset w:val="00"/>
    <w:family w:val="auto"/>
    <w:pitch w:val="default"/>
    <w:sig w:usb0="00000000" w:usb1="00000000" w:usb2="00000000" w:usb3="00000000" w:csb0="00000000" w:csb1="00000000"/>
  </w:font>
  <w:font w:name="AMGDT">
    <w:panose1 w:val="02000400000000000000"/>
    <w:charset w:val="00"/>
    <w:family w:val="auto"/>
    <w:pitch w:val="default"/>
    <w:sig w:usb0="80000003" w:usb1="10000000" w:usb2="00000000" w:usb3="00000000" w:csb0="0000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3C1382">
    <w:pPr>
      <w:pStyle w:val="12"/>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36C3991">
                          <w:pPr>
                            <w:pStyle w:val="12"/>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336C3991">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FFADFB"/>
    <w:multiLevelType w:val="singleLevel"/>
    <w:tmpl w:val="C8FFADFB"/>
    <w:lvl w:ilvl="0" w:tentative="0">
      <w:start w:val="1"/>
      <w:numFmt w:val="decimal"/>
      <w:lvlText w:val="(%1)"/>
      <w:lvlJc w:val="left"/>
      <w:pPr>
        <w:ind w:left="567" w:leftChars="0" w:firstLine="0" w:firstLineChars="0"/>
      </w:pPr>
      <w:rPr>
        <w:rFonts w:hint="default"/>
      </w:rPr>
    </w:lvl>
  </w:abstractNum>
  <w:abstractNum w:abstractNumId="1">
    <w:nsid w:val="4DCDBC18"/>
    <w:multiLevelType w:val="multilevel"/>
    <w:tmpl w:val="4DCDBC18"/>
    <w:lvl w:ilvl="0" w:tentative="0">
      <w:start w:val="1"/>
      <w:numFmt w:val="decimal"/>
      <w:lvlText w:val="%1."/>
      <w:lvlJc w:val="left"/>
      <w:pPr>
        <w:ind w:left="567" w:leftChars="0" w:hanging="567" w:firstLineChars="0"/>
      </w:p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dit="readOnly" w:formatting="1" w:enforcement="0"/>
  <w:defaultTabStop w:val="420"/>
  <w:characterSpacingControl w:val="doNotCompress"/>
  <w:hdrShapeDefaults>
    <o:shapelayout v:ext="edit">
      <o:idmap v:ext="edit" data="3,4"/>
    </o:shapelayout>
  </w:hdrShapeDefault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5NDYwNzBmYWYxMGE2ZjllYTM2N2RkOTlkNGEzNmQifQ=="/>
  </w:docVars>
  <w:rsids>
    <w:rsidRoot w:val="0050010A"/>
    <w:rsid w:val="00006AC6"/>
    <w:rsid w:val="00195B54"/>
    <w:rsid w:val="00227958"/>
    <w:rsid w:val="00232FC2"/>
    <w:rsid w:val="00275977"/>
    <w:rsid w:val="00276A03"/>
    <w:rsid w:val="002F15AA"/>
    <w:rsid w:val="00374AD0"/>
    <w:rsid w:val="0039051A"/>
    <w:rsid w:val="003D23CE"/>
    <w:rsid w:val="004723E5"/>
    <w:rsid w:val="0050010A"/>
    <w:rsid w:val="0051740F"/>
    <w:rsid w:val="005261F2"/>
    <w:rsid w:val="00547E21"/>
    <w:rsid w:val="005C66BC"/>
    <w:rsid w:val="005E4775"/>
    <w:rsid w:val="00631E8B"/>
    <w:rsid w:val="00724B62"/>
    <w:rsid w:val="007470F3"/>
    <w:rsid w:val="007915C1"/>
    <w:rsid w:val="007F7985"/>
    <w:rsid w:val="00806D0E"/>
    <w:rsid w:val="00827A95"/>
    <w:rsid w:val="00943B3C"/>
    <w:rsid w:val="00966FA1"/>
    <w:rsid w:val="00B7523D"/>
    <w:rsid w:val="00C2560B"/>
    <w:rsid w:val="00D339BB"/>
    <w:rsid w:val="00EB7ABA"/>
    <w:rsid w:val="00F13853"/>
    <w:rsid w:val="00FE2750"/>
    <w:rsid w:val="02D36DFE"/>
    <w:rsid w:val="04E2157A"/>
    <w:rsid w:val="05F81055"/>
    <w:rsid w:val="06323AC0"/>
    <w:rsid w:val="08852948"/>
    <w:rsid w:val="09007005"/>
    <w:rsid w:val="0A076464"/>
    <w:rsid w:val="0B1B7C79"/>
    <w:rsid w:val="0D0C3638"/>
    <w:rsid w:val="0D823DF0"/>
    <w:rsid w:val="0E33193F"/>
    <w:rsid w:val="0F7F415E"/>
    <w:rsid w:val="0F9E1F09"/>
    <w:rsid w:val="13347445"/>
    <w:rsid w:val="13DB3D64"/>
    <w:rsid w:val="15787288"/>
    <w:rsid w:val="181E2472"/>
    <w:rsid w:val="18364672"/>
    <w:rsid w:val="18723EA1"/>
    <w:rsid w:val="19E731CD"/>
    <w:rsid w:val="1B03633A"/>
    <w:rsid w:val="1F730C43"/>
    <w:rsid w:val="1F737547"/>
    <w:rsid w:val="21EC0618"/>
    <w:rsid w:val="22252D7A"/>
    <w:rsid w:val="223670B6"/>
    <w:rsid w:val="22A243CB"/>
    <w:rsid w:val="29FD439E"/>
    <w:rsid w:val="2B4E7270"/>
    <w:rsid w:val="2CBD39ED"/>
    <w:rsid w:val="2F3E3B46"/>
    <w:rsid w:val="33240C3D"/>
    <w:rsid w:val="36DF5796"/>
    <w:rsid w:val="3881462B"/>
    <w:rsid w:val="390A2699"/>
    <w:rsid w:val="39842625"/>
    <w:rsid w:val="3AD924FC"/>
    <w:rsid w:val="3ADF6549"/>
    <w:rsid w:val="3B7641EF"/>
    <w:rsid w:val="3BC957B9"/>
    <w:rsid w:val="41AE46E3"/>
    <w:rsid w:val="42903DE8"/>
    <w:rsid w:val="44953938"/>
    <w:rsid w:val="455E1514"/>
    <w:rsid w:val="472607CD"/>
    <w:rsid w:val="479A3013"/>
    <w:rsid w:val="49BF1136"/>
    <w:rsid w:val="4A45370A"/>
    <w:rsid w:val="4B410375"/>
    <w:rsid w:val="4F78743A"/>
    <w:rsid w:val="50B27620"/>
    <w:rsid w:val="5BBE50CA"/>
    <w:rsid w:val="5D4F6922"/>
    <w:rsid w:val="5E384F22"/>
    <w:rsid w:val="5FD0207A"/>
    <w:rsid w:val="62426A55"/>
    <w:rsid w:val="65B55333"/>
    <w:rsid w:val="6628007C"/>
    <w:rsid w:val="669A6254"/>
    <w:rsid w:val="67B04461"/>
    <w:rsid w:val="6974326C"/>
    <w:rsid w:val="69AA4F8C"/>
    <w:rsid w:val="6A6A1D60"/>
    <w:rsid w:val="6B250CC2"/>
    <w:rsid w:val="6C5A0E3F"/>
    <w:rsid w:val="6D017B56"/>
    <w:rsid w:val="6FA7614A"/>
    <w:rsid w:val="6FD43B85"/>
    <w:rsid w:val="7056191E"/>
    <w:rsid w:val="710F47CD"/>
    <w:rsid w:val="71230E5E"/>
    <w:rsid w:val="73AB1F81"/>
    <w:rsid w:val="758B5615"/>
    <w:rsid w:val="76776913"/>
    <w:rsid w:val="77674A9B"/>
    <w:rsid w:val="79D563EB"/>
    <w:rsid w:val="79F20909"/>
    <w:rsid w:val="7A0128FA"/>
    <w:rsid w:val="7B346CFF"/>
    <w:rsid w:val="7BCF46D0"/>
    <w:rsid w:val="7D3D2A2D"/>
    <w:rsid w:val="7F1042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3">
    <w:name w:val="heading 1"/>
    <w:basedOn w:val="1"/>
    <w:next w:val="1"/>
    <w:link w:val="20"/>
    <w:autoRedefine/>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4">
    <w:name w:val="heading 2"/>
    <w:basedOn w:val="1"/>
    <w:next w:val="1"/>
    <w:link w:val="21"/>
    <w:autoRedefine/>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5">
    <w:name w:val="heading 3"/>
    <w:basedOn w:val="1"/>
    <w:next w:val="1"/>
    <w:link w:val="22"/>
    <w:autoRedefine/>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6">
    <w:name w:val="heading 4"/>
    <w:basedOn w:val="1"/>
    <w:next w:val="1"/>
    <w:link w:val="23"/>
    <w:autoRedefine/>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7">
    <w:name w:val="heading 5"/>
    <w:basedOn w:val="1"/>
    <w:next w:val="1"/>
    <w:link w:val="24"/>
    <w:autoRedefine/>
    <w:semiHidden/>
    <w:unhideWhenUsed/>
    <w:qFormat/>
    <w:uiPriority w:val="9"/>
    <w:pPr>
      <w:keepNext/>
      <w:keepLines/>
      <w:spacing w:before="80" w:after="40"/>
      <w:outlineLvl w:val="4"/>
    </w:pPr>
    <w:rPr>
      <w:rFonts w:cstheme="majorBidi"/>
      <w:color w:val="2F5597" w:themeColor="accent1" w:themeShade="BF"/>
      <w:sz w:val="24"/>
      <w:szCs w:val="24"/>
    </w:rPr>
  </w:style>
  <w:style w:type="paragraph" w:styleId="8">
    <w:name w:val="heading 6"/>
    <w:basedOn w:val="1"/>
    <w:next w:val="1"/>
    <w:link w:val="25"/>
    <w:autoRedefine/>
    <w:semiHidden/>
    <w:unhideWhenUsed/>
    <w:qFormat/>
    <w:uiPriority w:val="9"/>
    <w:pPr>
      <w:keepNext/>
      <w:keepLines/>
      <w:spacing w:before="40"/>
      <w:outlineLvl w:val="5"/>
    </w:pPr>
    <w:rPr>
      <w:rFonts w:cstheme="majorBidi"/>
      <w:b/>
      <w:bCs/>
      <w:color w:val="2F5597" w:themeColor="accent1" w:themeShade="BF"/>
    </w:rPr>
  </w:style>
  <w:style w:type="paragraph" w:styleId="9">
    <w:name w:val="heading 7"/>
    <w:basedOn w:val="1"/>
    <w:next w:val="1"/>
    <w:link w:val="26"/>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10">
    <w:name w:val="heading 8"/>
    <w:basedOn w:val="1"/>
    <w:next w:val="1"/>
    <w:link w:val="27"/>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1">
    <w:name w:val="heading 9"/>
    <w:basedOn w:val="1"/>
    <w:next w:val="1"/>
    <w:link w:val="28"/>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7">
    <w:name w:val="Default Paragraph Font"/>
    <w:autoRedefine/>
    <w:unhideWhenUsed/>
    <w:qFormat/>
    <w:uiPriority w:val="1"/>
  </w:style>
  <w:style w:type="table" w:default="1" w:styleId="15">
    <w:name w:val="Normal Table"/>
    <w:autoRedefine/>
    <w:semiHidden/>
    <w:unhideWhenUsed/>
    <w:qFormat/>
    <w:uiPriority w:val="99"/>
    <w:tblPr>
      <w:tblCellMar>
        <w:top w:w="0" w:type="dxa"/>
        <w:left w:w="108" w:type="dxa"/>
        <w:bottom w:w="0" w:type="dxa"/>
        <w:right w:w="108" w:type="dxa"/>
      </w:tblCellMar>
    </w:tblPr>
  </w:style>
  <w:style w:type="paragraph" w:styleId="2">
    <w:name w:val="Title"/>
    <w:basedOn w:val="1"/>
    <w:next w:val="1"/>
    <w:link w:val="29"/>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12">
    <w:name w:val="footer"/>
    <w:basedOn w:val="1"/>
    <w:autoRedefine/>
    <w:semiHidden/>
    <w:unhideWhenUsed/>
    <w:qFormat/>
    <w:uiPriority w:val="99"/>
    <w:pPr>
      <w:tabs>
        <w:tab w:val="center" w:pos="4153"/>
        <w:tab w:val="right" w:pos="8306"/>
      </w:tabs>
      <w:snapToGrid w:val="0"/>
      <w:jc w:val="left"/>
    </w:pPr>
    <w:rPr>
      <w:sz w:val="18"/>
    </w:rPr>
  </w:style>
  <w:style w:type="paragraph" w:styleId="13">
    <w:name w:val="header"/>
    <w:basedOn w:val="1"/>
    <w:autoRedefine/>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Subtitle"/>
    <w:basedOn w:val="1"/>
    <w:next w:val="1"/>
    <w:link w:val="30"/>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table" w:styleId="16">
    <w:name w:val="Table Grid"/>
    <w:basedOn w:val="15"/>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llowedHyperlink"/>
    <w:basedOn w:val="17"/>
    <w:autoRedefine/>
    <w:semiHidden/>
    <w:unhideWhenUsed/>
    <w:qFormat/>
    <w:uiPriority w:val="99"/>
    <w:rPr>
      <w:color w:val="800080"/>
      <w:u w:val="single"/>
    </w:rPr>
  </w:style>
  <w:style w:type="character" w:styleId="19">
    <w:name w:val="Hyperlink"/>
    <w:basedOn w:val="17"/>
    <w:autoRedefine/>
    <w:unhideWhenUsed/>
    <w:qFormat/>
    <w:uiPriority w:val="99"/>
    <w:rPr>
      <w:color w:val="0563C1" w:themeColor="hyperlink"/>
      <w:u w:val="single"/>
      <w14:textFill>
        <w14:solidFill>
          <w14:schemeClr w14:val="hlink"/>
        </w14:solidFill>
      </w14:textFill>
    </w:rPr>
  </w:style>
  <w:style w:type="character" w:customStyle="1" w:styleId="20">
    <w:name w:val="标题 1 字符"/>
    <w:basedOn w:val="17"/>
    <w:link w:val="3"/>
    <w:autoRedefine/>
    <w:qFormat/>
    <w:uiPriority w:val="9"/>
    <w:rPr>
      <w:rFonts w:asciiTheme="majorHAnsi" w:hAnsiTheme="majorHAnsi" w:eastAsiaTheme="majorEastAsia" w:cstheme="majorBidi"/>
      <w:color w:val="2F5597" w:themeColor="accent1" w:themeShade="BF"/>
      <w:sz w:val="48"/>
      <w:szCs w:val="48"/>
    </w:rPr>
  </w:style>
  <w:style w:type="character" w:customStyle="1" w:styleId="21">
    <w:name w:val="标题 2 字符"/>
    <w:basedOn w:val="17"/>
    <w:link w:val="4"/>
    <w:autoRedefine/>
    <w:semiHidden/>
    <w:qFormat/>
    <w:uiPriority w:val="9"/>
    <w:rPr>
      <w:rFonts w:asciiTheme="majorHAnsi" w:hAnsiTheme="majorHAnsi" w:eastAsiaTheme="majorEastAsia" w:cstheme="majorBidi"/>
      <w:color w:val="2F5597" w:themeColor="accent1" w:themeShade="BF"/>
      <w:sz w:val="40"/>
      <w:szCs w:val="40"/>
    </w:rPr>
  </w:style>
  <w:style w:type="character" w:customStyle="1" w:styleId="22">
    <w:name w:val="标题 3 字符"/>
    <w:basedOn w:val="17"/>
    <w:link w:val="5"/>
    <w:autoRedefine/>
    <w:semiHidden/>
    <w:qFormat/>
    <w:uiPriority w:val="9"/>
    <w:rPr>
      <w:rFonts w:asciiTheme="majorHAnsi" w:hAnsiTheme="majorHAnsi" w:eastAsiaTheme="majorEastAsia" w:cstheme="majorBidi"/>
      <w:color w:val="2F5597" w:themeColor="accent1" w:themeShade="BF"/>
      <w:sz w:val="32"/>
      <w:szCs w:val="32"/>
    </w:rPr>
  </w:style>
  <w:style w:type="character" w:customStyle="1" w:styleId="23">
    <w:name w:val="标题 4 字符"/>
    <w:basedOn w:val="17"/>
    <w:link w:val="6"/>
    <w:autoRedefine/>
    <w:semiHidden/>
    <w:qFormat/>
    <w:uiPriority w:val="9"/>
    <w:rPr>
      <w:rFonts w:cstheme="majorBidi"/>
      <w:color w:val="2F5597" w:themeColor="accent1" w:themeShade="BF"/>
      <w:sz w:val="28"/>
      <w:szCs w:val="28"/>
    </w:rPr>
  </w:style>
  <w:style w:type="character" w:customStyle="1" w:styleId="24">
    <w:name w:val="标题 5 字符"/>
    <w:basedOn w:val="17"/>
    <w:link w:val="7"/>
    <w:autoRedefine/>
    <w:semiHidden/>
    <w:qFormat/>
    <w:uiPriority w:val="9"/>
    <w:rPr>
      <w:rFonts w:cstheme="majorBidi"/>
      <w:color w:val="2F5597" w:themeColor="accent1" w:themeShade="BF"/>
      <w:sz w:val="24"/>
      <w:szCs w:val="24"/>
    </w:rPr>
  </w:style>
  <w:style w:type="character" w:customStyle="1" w:styleId="25">
    <w:name w:val="标题 6 字符"/>
    <w:basedOn w:val="17"/>
    <w:link w:val="8"/>
    <w:autoRedefine/>
    <w:semiHidden/>
    <w:qFormat/>
    <w:uiPriority w:val="9"/>
    <w:rPr>
      <w:rFonts w:cstheme="majorBidi"/>
      <w:b/>
      <w:bCs/>
      <w:color w:val="2F5597" w:themeColor="accent1" w:themeShade="BF"/>
    </w:rPr>
  </w:style>
  <w:style w:type="character" w:customStyle="1" w:styleId="26">
    <w:name w:val="标题 7 字符"/>
    <w:basedOn w:val="17"/>
    <w:link w:val="9"/>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7">
    <w:name w:val="标题 8 字符"/>
    <w:basedOn w:val="17"/>
    <w:link w:val="10"/>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8">
    <w:name w:val="标题 9 字符"/>
    <w:basedOn w:val="17"/>
    <w:link w:val="11"/>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9">
    <w:name w:val="标题 字符"/>
    <w:basedOn w:val="17"/>
    <w:link w:val="2"/>
    <w:autoRedefine/>
    <w:qFormat/>
    <w:uiPriority w:val="10"/>
    <w:rPr>
      <w:rFonts w:asciiTheme="majorHAnsi" w:hAnsiTheme="majorHAnsi" w:eastAsiaTheme="majorEastAsia" w:cstheme="majorBidi"/>
      <w:spacing w:val="-10"/>
      <w:kern w:val="28"/>
      <w:sz w:val="56"/>
      <w:szCs w:val="56"/>
    </w:rPr>
  </w:style>
  <w:style w:type="character" w:customStyle="1" w:styleId="30">
    <w:name w:val="副标题 字符"/>
    <w:basedOn w:val="17"/>
    <w:link w:val="14"/>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1">
    <w:name w:val="Quote"/>
    <w:basedOn w:val="1"/>
    <w:next w:val="1"/>
    <w:link w:val="32"/>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2">
    <w:name w:val="引用 字符"/>
    <w:basedOn w:val="17"/>
    <w:link w:val="31"/>
    <w:autoRedefine/>
    <w:qFormat/>
    <w:uiPriority w:val="29"/>
    <w:rPr>
      <w:i/>
      <w:iCs/>
      <w:color w:val="404040" w:themeColor="text1" w:themeTint="BF"/>
      <w14:textFill>
        <w14:solidFill>
          <w14:schemeClr w14:val="tx1">
            <w14:lumMod w14:val="75000"/>
            <w14:lumOff w14:val="25000"/>
          </w14:schemeClr>
        </w14:solidFill>
      </w14:textFill>
    </w:rPr>
  </w:style>
  <w:style w:type="paragraph" w:styleId="33">
    <w:name w:val="List Paragraph"/>
    <w:basedOn w:val="1"/>
    <w:autoRedefine/>
    <w:qFormat/>
    <w:uiPriority w:val="34"/>
    <w:pPr>
      <w:ind w:left="720"/>
      <w:contextualSpacing/>
    </w:pPr>
  </w:style>
  <w:style w:type="character" w:customStyle="1" w:styleId="34">
    <w:name w:val="Intense Emphasis"/>
    <w:basedOn w:val="17"/>
    <w:autoRedefine/>
    <w:qFormat/>
    <w:uiPriority w:val="21"/>
    <w:rPr>
      <w:i/>
      <w:iCs/>
      <w:color w:val="2F5597" w:themeColor="accent1" w:themeShade="BF"/>
    </w:rPr>
  </w:style>
  <w:style w:type="paragraph" w:styleId="35">
    <w:name w:val="Intense Quote"/>
    <w:basedOn w:val="1"/>
    <w:next w:val="1"/>
    <w:link w:val="36"/>
    <w:autoRedefine/>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6">
    <w:name w:val="明显引用 字符"/>
    <w:basedOn w:val="17"/>
    <w:link w:val="35"/>
    <w:autoRedefine/>
    <w:qFormat/>
    <w:uiPriority w:val="30"/>
    <w:rPr>
      <w:i/>
      <w:iCs/>
      <w:color w:val="2F5597" w:themeColor="accent1" w:themeShade="BF"/>
    </w:rPr>
  </w:style>
  <w:style w:type="character" w:customStyle="1" w:styleId="37">
    <w:name w:val="Intense Reference"/>
    <w:basedOn w:val="17"/>
    <w:autoRedefine/>
    <w:qFormat/>
    <w:uiPriority w:val="32"/>
    <w:rPr>
      <w:b/>
      <w:bCs/>
      <w:smallCaps/>
      <w:color w:val="2F5597" w:themeColor="accent1" w:themeShade="BF"/>
      <w:spacing w:val="5"/>
    </w:rPr>
  </w:style>
  <w:style w:type="character" w:customStyle="1" w:styleId="38">
    <w:name w:val="Unresolved Mention"/>
    <w:basedOn w:val="17"/>
    <w:autoRedefine/>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1077</Words>
  <Characters>1198</Characters>
  <Lines>13</Lines>
  <Paragraphs>3</Paragraphs>
  <TotalTime>1</TotalTime>
  <ScaleCrop>false</ScaleCrop>
  <LinksUpToDate>false</LinksUpToDate>
  <CharactersWithSpaces>1204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2025-03-14T10:51:00Z</dcterms:created>
  <dc:creator>hxd</dc:creator>
  <cp:lastModifiedBy>念想</cp:lastModifiedBy>
  <dcterms:modified xsi:type="dcterms:W3CDTF">2025-10-09T04:25:53Z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532E70ED600D4E8AB9F7D223585C8919_13</vt:lpwstr>
  </property>
  <property fmtid="{D5CDD505-2E9C-101B-9397-08002B2CF9AE}" pid="4" name="KSOTemplateDocerSaveRecord">
    <vt:lpwstr>eyJoZGlkIjoiMWVhODhhYWNhYTYzZDljM2UyNTIxMDE4YTBmYjFlYWUiLCJ1c2VySWQiOiIxNjQ2MzcwNSJ9</vt:lpwstr>
  </property>
</Properties>
</file>